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H SarabunPSK" w:cs="TH SarabunPSK" w:eastAsia="TH SarabunPSK" w:hAnsi="TH SarabunPSK"/>
          <w:b w:val="1"/>
          <w:sz w:val="36"/>
          <w:szCs w:val="36"/>
        </w:rPr>
      </w:pPr>
      <w:r w:rsidDel="00000000" w:rsidR="00000000" w:rsidRPr="00000000">
        <w:rPr>
          <w:rFonts w:ascii="TH SarabunPSK" w:cs="TH SarabunPSK" w:eastAsia="TH SarabunPSK" w:hAnsi="TH SarabunPSK"/>
          <w:b w:val="1"/>
          <w:sz w:val="36"/>
          <w:szCs w:val="36"/>
          <w:rtl w:val="0"/>
        </w:rPr>
        <w:t xml:space="preserve">บันทึกคำอธิบายรายวิชา เศรษฐศาสตร์น่ารู้</w:t>
      </w:r>
    </w:p>
    <w:p w:rsidR="00000000" w:rsidDel="00000000" w:rsidP="00000000" w:rsidRDefault="00000000" w:rsidRPr="00000000" w14:paraId="00000002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รหัสวิชา ส22241 </w:t>
        <w:tab/>
        <w:t xml:space="preserve">ชื่อวิชา เศรษฐศาสตร์น่ารู้         กลุ่มสาระการเรียนรู้สังคมศึกษา ศาสนาและวัฒนธรรม</w:t>
      </w:r>
    </w:p>
    <w:p w:rsidR="00000000" w:rsidDel="00000000" w:rsidP="00000000" w:rsidRDefault="00000000" w:rsidRPr="00000000" w14:paraId="00000003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ชั้นมัธยมศึกษาปีที่ 2  </w:t>
        <w:tab/>
        <w:tab/>
        <w:t xml:space="preserve">ภาคเรียนที่ 1     </w:t>
        <w:tab/>
        <w:t xml:space="preserve">เวลา 40 ชม.          </w:t>
        <w:tab/>
        <w:t xml:space="preserve">        จำนวน 1 หน่วยกิต</w:t>
      </w:r>
    </w:p>
    <w:p w:rsidR="00000000" w:rsidDel="00000000" w:rsidP="00000000" w:rsidRDefault="00000000" w:rsidRPr="00000000" w14:paraId="00000004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ศึกษา วิเคราะห์ อธิบาย การวางแผนทางการเงินพื้นฐานในการดำเนินชีวิตในสภาวะเศรษฐกิจในปัจจุบัน </w:t>
        <w:br w:type="textWrapping"/>
        <w:t xml:space="preserve">การวางแผนการใช้จ่ายเงินของตนเองในการอุปโภคและบริโภคในชีวิตประจำวัน การแสวงหารายได้ให้เพียงพอต่อการดำเนินชีวิตของตนเองในสภาพเศรษฐกิจในปัจุบัน การในการลงทุนทางการเงินให้เกิดประสิทธิภาพเหมาะสมกับตนเองและสภาพเศรษฐกิจในปัจุบัน การเก็บออมเงินเพื่อเป็นทุนสำรองของตนเองในอนาคต การจัดการกับหนี้สินอย่างมีประสิทธิภาพ เหมาะสมกับตนเอง</w:t>
      </w:r>
    </w:p>
    <w:p w:rsidR="00000000" w:rsidDel="00000000" w:rsidP="00000000" w:rsidRDefault="00000000" w:rsidRPr="00000000" w14:paraId="00000006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โดยใช้กระบวนการคิดวิเคราะห์ กระบวนการสืบค้นข้อมูล กระบวนการปฏิบัติ กระบวนการเผชิญสถานการณ์ กระบวนการแก้ปัญหา กระบวนการกลุ่ม และการอภิปราย</w:t>
      </w:r>
    </w:p>
    <w:p w:rsidR="00000000" w:rsidDel="00000000" w:rsidP="00000000" w:rsidRDefault="00000000" w:rsidRPr="00000000" w14:paraId="00000008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ab/>
        <w:t xml:space="preserve">เพื่อให้เกิดคุณลักษณะอันพึงประสงค์ มีวินัย มุ่งมั่นในการทำงาน อยู่อย่างพอเพียง พร้อมทั้งมีเจตคติที่ดีต่อการวางแผนทางการเงิน การใช้จ่าย การแสวงหารายได้ การลงทุนทางการเงินและการออมเงิน การจัดการกับหนี้สิน</w:t>
      </w:r>
    </w:p>
    <w:p w:rsidR="00000000" w:rsidDel="00000000" w:rsidP="00000000" w:rsidRDefault="00000000" w:rsidRPr="00000000" w14:paraId="0000000A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ผลการเรียนรู้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อธิบายวิธีการวางแผนการใช้จ่ายเงินของตนเองในการอุปโภคและบริโภคในชีวิตประจำวัน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240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วิเคราะห์การจัดการกับหนี้สินที่เหมาะสมกับตนเอง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อธิบายการแสวงหารายได้และการจัดการภาษีเงินได้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ศึกษาการเก็บออมเงินและการวางแผนการออมเพื่อเป็นทุนสำรองของตนเองในอนาคต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วิเคราะห์การลงทุนทางการเงินที่เหมาะสมกับตนเองและเศรษฐกิจในปัจจุบัน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line="276" w:lineRule="auto"/>
        <w:ind w:left="720" w:hanging="360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ศึกษาการวางแผนทางการเงินพื้นฐานในการดำเนินชีวิต</w:t>
      </w:r>
    </w:p>
    <w:p w:rsidR="00000000" w:rsidDel="00000000" w:rsidP="00000000" w:rsidRDefault="00000000" w:rsidRPr="00000000" w14:paraId="00000012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rPr>
          <w:rFonts w:ascii="TH SarabunPSK" w:cs="TH SarabunPSK" w:eastAsia="TH SarabunPSK" w:hAnsi="TH SarabunPSK"/>
          <w:sz w:val="32"/>
          <w:szCs w:val="32"/>
        </w:rPr>
      </w:pPr>
      <w:bookmarkStart w:colFirst="0" w:colLast="0" w:name="_gjdgxs" w:id="0"/>
      <w:bookmarkEnd w:id="0"/>
      <w:r w:rsidDel="00000000" w:rsidR="00000000" w:rsidRPr="00000000">
        <w:rPr>
          <w:rFonts w:ascii="TH SarabunPSK" w:cs="TH SarabunPSK" w:eastAsia="TH SarabunPSK" w:hAnsi="TH SarabunPSK"/>
          <w:sz w:val="32"/>
          <w:szCs w:val="32"/>
          <w:rtl w:val="0"/>
        </w:rPr>
        <w:t xml:space="preserve">รวมทั้งหมด 6 ผลการเรียนรู้</w:t>
      </w:r>
    </w:p>
    <w:p w:rsidR="00000000" w:rsidDel="00000000" w:rsidP="00000000" w:rsidRDefault="00000000" w:rsidRPr="00000000" w14:paraId="00000014">
      <w:pPr>
        <w:rPr>
          <w:rFonts w:ascii="TH SarabunPSK" w:cs="TH SarabunPSK" w:eastAsia="TH SarabunPSK" w:hAnsi="TH SarabunPSK"/>
          <w:sz w:val="32"/>
          <w:szCs w:val="3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440" w:top="1440" w:left="1440" w:right="108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H SarabunPSK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th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