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6684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313B017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5574FE7" w14:textId="77777777" w:rsidR="002C1712" w:rsidRPr="00E60B22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1A119D2" w14:textId="05391F6A" w:rsidR="002C1712" w:rsidRPr="00052A7B" w:rsidRDefault="002C1712" w:rsidP="002C1712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2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21102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4C688360" w14:textId="1BDA4879" w:rsidR="002C1712" w:rsidRPr="00147993" w:rsidRDefault="002C1712" w:rsidP="002C1712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F04EEB">
        <w:rPr>
          <w:rFonts w:ascii="TH SarabunPSK" w:hAnsi="TH SarabunPSK" w:cs="TH SarabunPSK" w:hint="cs"/>
          <w:cs/>
          <w:lang w:val="en-AU"/>
        </w:rPr>
        <w:t>7</w:t>
      </w:r>
    </w:p>
    <w:p w14:paraId="6084DDE7" w14:textId="77777777" w:rsidR="002C1712" w:rsidRPr="00F524D7" w:rsidRDefault="002C1712" w:rsidP="002C1712">
      <w:pPr>
        <w:rPr>
          <w:rFonts w:ascii="TH SarabunPSK" w:hAnsi="TH SarabunPSK" w:cs="TH SarabunPSK"/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3198"/>
        <w:gridCol w:w="3268"/>
        <w:gridCol w:w="3241"/>
      </w:tblGrid>
      <w:tr w:rsidR="00BE2E2F" w:rsidRPr="004B006A" w14:paraId="1783E4B4" w14:textId="77777777" w:rsidTr="00E33D69">
        <w:trPr>
          <w:trHeight w:val="643"/>
        </w:trPr>
        <w:tc>
          <w:tcPr>
            <w:tcW w:w="3962" w:type="dxa"/>
            <w:vAlign w:val="center"/>
          </w:tcPr>
          <w:p w14:paraId="6441D39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198" w:type="dxa"/>
            <w:vAlign w:val="center"/>
          </w:tcPr>
          <w:p w14:paraId="4C5E23B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28BF1C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5DC6324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E60B22" w:rsidRPr="004B006A" w14:paraId="761BC4F2" w14:textId="77777777" w:rsidTr="00E33D69">
        <w:trPr>
          <w:trHeight w:val="1451"/>
        </w:trPr>
        <w:tc>
          <w:tcPr>
            <w:tcW w:w="3962" w:type="dxa"/>
            <w:vMerge w:val="restart"/>
          </w:tcPr>
          <w:p w14:paraId="39E97A20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 w:rsidRPr="00F524D7">
              <w:rPr>
                <w:rFonts w:ascii="TH SarabunPSK" w:hAnsi="TH SarabunPSK" w:cs="TH SarabunPSK"/>
                <w:cs/>
              </w:rPr>
              <w:t>ศ 1.1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ความคิดต่องานศิลปะอย่างอิสระชื่นชม และประยุกต์ใช้ในชีวิตประจำวัน</w:t>
            </w:r>
          </w:p>
        </w:tc>
        <w:tc>
          <w:tcPr>
            <w:tcW w:w="3198" w:type="dxa"/>
          </w:tcPr>
          <w:p w14:paraId="23538503" w14:textId="5E3B622F" w:rsidR="00F04EEB" w:rsidRDefault="00F04EEB" w:rsidP="00E60B2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CFEE1F6" w14:textId="4AC2841F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1/1</w:t>
            </w:r>
          </w:p>
        </w:tc>
        <w:tc>
          <w:tcPr>
            <w:tcW w:w="3268" w:type="dxa"/>
            <w:shd w:val="clear" w:color="auto" w:fill="auto"/>
          </w:tcPr>
          <w:p w14:paraId="692F6704" w14:textId="77777777" w:rsid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spacing w:val="-12"/>
              </w:rPr>
            </w:pPr>
            <w:r w:rsidRPr="00091C31">
              <w:rPr>
                <w:rFonts w:ascii="TH SarabunPSK" w:hAnsi="TH SarabunPSK" w:cs="TH SarabunPSK"/>
                <w:color w:val="FF0000"/>
              </w:rPr>
              <w:t>K:</w:t>
            </w:r>
            <w:r w:rsidRPr="00E60B22">
              <w:rPr>
                <w:rFonts w:ascii="TH SarabunPSK" w:hAnsi="TH SarabunPSK" w:cs="TH SarabunPSK"/>
                <w:cs/>
              </w:rPr>
              <w:t>บรรยายความแตกต่างและความคล้ายคลึงกันของงานทัศนศิลป์</w:t>
            </w:r>
            <w:r w:rsidRPr="00E60B22">
              <w:rPr>
                <w:rFonts w:ascii="TH SarabunPSK" w:hAnsi="TH SarabunPSK" w:cs="TH SarabunPSK"/>
              </w:rPr>
              <w:t xml:space="preserve">                 </w:t>
            </w:r>
            <w:r w:rsidRPr="00E60B22">
              <w:rPr>
                <w:rFonts w:ascii="TH SarabunPSK" w:hAnsi="TH SarabunPSK" w:cs="TH SarabunPSK"/>
                <w:spacing w:val="-12"/>
                <w:cs/>
              </w:rPr>
              <w:t>และสิ่งแวดล้อมโดยใช้ความรู้เรื่อง</w:t>
            </w:r>
          </w:p>
          <w:p w14:paraId="5A8FFDB0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E60B22">
              <w:rPr>
                <w:rFonts w:ascii="TH SarabunPSK" w:hAnsi="TH SarabunPSK" w:cs="TH SarabunPSK"/>
                <w:spacing w:val="-12"/>
                <w:cs/>
              </w:rPr>
              <w:t>ทัศนธาตุ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61041EBB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E60B22">
              <w:rPr>
                <w:rFonts w:ascii="TH SarabunPSK" w:hAnsi="TH SarabunPSK" w:cs="TH SarabunPSK"/>
                <w:cs/>
              </w:rPr>
              <w:t>ความแตกต่างและความคล้ายคลึงกันของทัศนธาตุในงานทัศนศิลป์ และสิ่งแวดล้อม</w:t>
            </w:r>
          </w:p>
        </w:tc>
      </w:tr>
      <w:tr w:rsidR="00E60B22" w:rsidRPr="004B006A" w14:paraId="33CAE59E" w14:textId="77777777" w:rsidTr="00E33D69">
        <w:trPr>
          <w:trHeight w:val="1451"/>
        </w:trPr>
        <w:tc>
          <w:tcPr>
            <w:tcW w:w="3962" w:type="dxa"/>
            <w:vMerge/>
          </w:tcPr>
          <w:p w14:paraId="225F7007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98" w:type="dxa"/>
          </w:tcPr>
          <w:p w14:paraId="36120ABF" w14:textId="5BF339E3" w:rsidR="00F04EEB" w:rsidRDefault="00F04EEB" w:rsidP="00E60B2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259769D" w14:textId="5CA160F9" w:rsidR="00E60B22" w:rsidRDefault="00E60B22" w:rsidP="00E60B22">
            <w:pPr>
              <w:jc w:val="center"/>
            </w:pPr>
            <w:r w:rsidRPr="006424E2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1/2</w:t>
            </w:r>
          </w:p>
        </w:tc>
        <w:tc>
          <w:tcPr>
            <w:tcW w:w="3268" w:type="dxa"/>
            <w:shd w:val="clear" w:color="auto" w:fill="auto"/>
          </w:tcPr>
          <w:p w14:paraId="7D28361B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091C31">
              <w:rPr>
                <w:rFonts w:ascii="TH SarabunPSK" w:hAnsi="TH SarabunPSK" w:cs="TH SarabunPSK"/>
                <w:color w:val="FF0000"/>
              </w:rPr>
              <w:t>K:</w:t>
            </w:r>
            <w:r>
              <w:rPr>
                <w:rFonts w:ascii="TH SarabunPSK" w:hAnsi="TH SarabunPSK" w:cs="TH SarabunPSK"/>
                <w:cs/>
              </w:rPr>
              <w:t>ระบุ</w:t>
            </w:r>
            <w:r w:rsidRPr="00E60B22">
              <w:rPr>
                <w:rFonts w:ascii="TH SarabunPSK" w:hAnsi="TH SarabunPSK" w:cs="TH SarabunPSK"/>
                <w:cs/>
              </w:rPr>
              <w:t>และ</w:t>
            </w:r>
            <w:r w:rsidRPr="00E60B22">
              <w:rPr>
                <w:rFonts w:ascii="TH SarabunPSK" w:hAnsi="TH SarabunPSK" w:cs="TH SarabunPSK"/>
                <w:spacing w:val="-4"/>
                <w:cs/>
              </w:rPr>
              <w:t>บรรยายหลักการ</w:t>
            </w:r>
            <w:r w:rsidRPr="00E60B22">
              <w:rPr>
                <w:rFonts w:ascii="TH SarabunPSK" w:hAnsi="TH SarabunPSK" w:cs="TH SarabunPSK"/>
                <w:cs/>
              </w:rPr>
              <w:t>ออกแบบ</w:t>
            </w:r>
            <w:r w:rsidRPr="00E60B22">
              <w:rPr>
                <w:rFonts w:ascii="TH SarabunPSK" w:hAnsi="TH SarabunPSK" w:cs="TH SarabunPSK"/>
                <w:spacing w:val="-6"/>
                <w:cs/>
              </w:rPr>
              <w:t>งานทัศนศิลป์ โดยเน้นความเป็นเอกภาพ</w:t>
            </w:r>
            <w:r w:rsidRPr="00E60B22">
              <w:rPr>
                <w:rFonts w:ascii="TH SarabunPSK" w:hAnsi="TH SarabunPSK" w:cs="TH SarabunPSK"/>
                <w:cs/>
              </w:rPr>
              <w:t>ความกลมกลืนและความสมดุล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0AB0982E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E60B22">
              <w:rPr>
                <w:rFonts w:ascii="TH SarabunPSK" w:hAnsi="TH SarabunPSK" w:cs="TH SarabunPSK"/>
                <w:spacing w:val="-10"/>
                <w:cs/>
              </w:rPr>
              <w:t>ความเป็นเอกภาพ  ความกลมกลืน ความสมดุล</w:t>
            </w:r>
          </w:p>
        </w:tc>
      </w:tr>
      <w:tr w:rsidR="00E60B22" w:rsidRPr="004B006A" w14:paraId="53E0B0AF" w14:textId="77777777" w:rsidTr="00E33D69">
        <w:trPr>
          <w:trHeight w:val="744"/>
        </w:trPr>
        <w:tc>
          <w:tcPr>
            <w:tcW w:w="3962" w:type="dxa"/>
            <w:vMerge/>
          </w:tcPr>
          <w:p w14:paraId="09D7AE20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98" w:type="dxa"/>
          </w:tcPr>
          <w:p w14:paraId="3F7CB4BB" w14:textId="39087DB6" w:rsidR="00F04EEB" w:rsidRDefault="00F04EEB" w:rsidP="00F04EE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323FBF4B" w14:textId="77777777" w:rsidR="00E60B22" w:rsidRDefault="00E60B22" w:rsidP="00E60B22">
            <w:pPr>
              <w:jc w:val="center"/>
            </w:pPr>
            <w:r w:rsidRPr="006424E2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</w:rPr>
              <w:t>1/3</w:t>
            </w:r>
          </w:p>
        </w:tc>
        <w:tc>
          <w:tcPr>
            <w:tcW w:w="3268" w:type="dxa"/>
            <w:shd w:val="clear" w:color="auto" w:fill="auto"/>
          </w:tcPr>
          <w:p w14:paraId="529A6687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P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E60B22">
              <w:rPr>
                <w:rFonts w:ascii="TH SarabunPSK" w:hAnsi="TH SarabunPSK" w:cs="TH SarabunPSK"/>
                <w:cs/>
              </w:rPr>
              <w:t>วาดภาพทัศนียภาพแสดงให้เห็นระยะไกลใกล้ เป็น ๓ มิติ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085C316C" w14:textId="77777777" w:rsidR="00E60B22" w:rsidRPr="00E60B22" w:rsidRDefault="00E60B22" w:rsidP="00E60B22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E60B22">
              <w:rPr>
                <w:rFonts w:ascii="TH SarabunPSK" w:hAnsi="TH SarabunPSK" w:cs="TH SarabunPSK"/>
                <w:cs/>
              </w:rPr>
              <w:t>หลักการวาดภาพแสดงทัศนียภาพ</w:t>
            </w:r>
          </w:p>
        </w:tc>
      </w:tr>
      <w:tr w:rsidR="00E60B22" w:rsidRPr="004B006A" w14:paraId="32DA8210" w14:textId="77777777" w:rsidTr="00E33D69">
        <w:trPr>
          <w:trHeight w:val="1451"/>
        </w:trPr>
        <w:tc>
          <w:tcPr>
            <w:tcW w:w="3962" w:type="dxa"/>
            <w:vMerge/>
          </w:tcPr>
          <w:p w14:paraId="6DE7091B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98" w:type="dxa"/>
          </w:tcPr>
          <w:p w14:paraId="3901F6D4" w14:textId="13BAD026" w:rsidR="00F04EEB" w:rsidRDefault="00F04EEB" w:rsidP="00E60B2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5355415A" w14:textId="15CB72DB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</w:t>
            </w:r>
            <w:r w:rsidRPr="00F524D7">
              <w:rPr>
                <w:rFonts w:ascii="TH SarabunPSK" w:hAnsi="TH SarabunPSK" w:cs="TH SarabunPSK"/>
              </w:rPr>
              <w:t>1/4</w:t>
            </w:r>
          </w:p>
        </w:tc>
        <w:tc>
          <w:tcPr>
            <w:tcW w:w="3268" w:type="dxa"/>
            <w:shd w:val="clear" w:color="auto" w:fill="auto"/>
          </w:tcPr>
          <w:p w14:paraId="08B8ECF2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olor w:val="FF0000"/>
              </w:rPr>
              <w:t>K:</w:t>
            </w:r>
            <w:r w:rsidRPr="00F524D7">
              <w:rPr>
                <w:rFonts w:ascii="TH SarabunPSK" w:hAnsi="TH SarabunPSK" w:cs="TH SarabunPSK"/>
                <w:cs/>
              </w:rPr>
              <w:t>รวบรวมงานปั้นหรือสื่อผสมมาสร้างเป็นเรื่องราว 3 มิติ โดยเน้นความเป็นเอกภาพ ความกลมกลืนและการสื่อถึงเรื่องราวของงาน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3966ABD3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เอกภาพความกลมกลืนของเรื่องราวในงานปั้นหรืองานสื่อผสม</w:t>
            </w:r>
          </w:p>
        </w:tc>
      </w:tr>
      <w:tr w:rsidR="00E60B22" w:rsidRPr="004B006A" w14:paraId="0C65BD28" w14:textId="77777777" w:rsidTr="00E33D69">
        <w:trPr>
          <w:trHeight w:val="768"/>
        </w:trPr>
        <w:tc>
          <w:tcPr>
            <w:tcW w:w="3962" w:type="dxa"/>
            <w:vMerge/>
          </w:tcPr>
          <w:p w14:paraId="03BC7370" w14:textId="77777777" w:rsidR="00E60B22" w:rsidRPr="004B006A" w:rsidRDefault="00E60B22" w:rsidP="00E60B2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98" w:type="dxa"/>
          </w:tcPr>
          <w:p w14:paraId="3E7B36D4" w14:textId="4B1303FD" w:rsidR="00F04EEB" w:rsidRDefault="00F04EEB" w:rsidP="00E60B2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FA53812" w14:textId="1D00B061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</w:t>
            </w:r>
            <w:r w:rsidRPr="00F524D7">
              <w:rPr>
                <w:rFonts w:ascii="TH SarabunPSK" w:hAnsi="TH SarabunPSK" w:cs="TH SarabunPSK"/>
              </w:rPr>
              <w:t>1/5</w:t>
            </w:r>
          </w:p>
        </w:tc>
        <w:tc>
          <w:tcPr>
            <w:tcW w:w="3268" w:type="dxa"/>
            <w:shd w:val="clear" w:color="auto" w:fill="auto"/>
          </w:tcPr>
          <w:p w14:paraId="30650712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F524D7">
              <w:rPr>
                <w:rFonts w:ascii="TH SarabunPSK" w:hAnsi="TH SarabunPSK" w:cs="TH SarabunPSK"/>
                <w:cs/>
              </w:rPr>
              <w:t>ออกแบบรูปภาพ สัญลักษณ์ หรือกราฟิกอื่นๆ ในการนำเสนอความคิดและข้อมูล</w:t>
            </w:r>
          </w:p>
        </w:tc>
        <w:tc>
          <w:tcPr>
            <w:tcW w:w="3241" w:type="dxa"/>
          </w:tcPr>
          <w:p w14:paraId="2ECD132F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การออกแบบรูปภาพ สัญลักษณ์ หรืองานกราฟิก</w:t>
            </w:r>
          </w:p>
        </w:tc>
      </w:tr>
    </w:tbl>
    <w:p w14:paraId="36165B28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A86B60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2"/>
        <w:gridCol w:w="3198"/>
        <w:gridCol w:w="3268"/>
        <w:gridCol w:w="3241"/>
      </w:tblGrid>
      <w:tr w:rsidR="00BE2E2F" w:rsidRPr="004B006A" w14:paraId="490C33BE" w14:textId="77777777" w:rsidTr="00E33D69">
        <w:trPr>
          <w:trHeight w:val="643"/>
        </w:trPr>
        <w:tc>
          <w:tcPr>
            <w:tcW w:w="3962" w:type="dxa"/>
            <w:vAlign w:val="center"/>
          </w:tcPr>
          <w:p w14:paraId="12B3ED2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98" w:type="dxa"/>
            <w:vAlign w:val="center"/>
          </w:tcPr>
          <w:p w14:paraId="1B9D4F3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CF5330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1" w:type="dxa"/>
            <w:vAlign w:val="center"/>
          </w:tcPr>
          <w:p w14:paraId="65B4181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E60B22" w:rsidRPr="004B006A" w14:paraId="4074E377" w14:textId="77777777" w:rsidTr="00E33D69">
        <w:trPr>
          <w:trHeight w:val="643"/>
        </w:trPr>
        <w:tc>
          <w:tcPr>
            <w:tcW w:w="3962" w:type="dxa"/>
          </w:tcPr>
          <w:p w14:paraId="7429EB9E" w14:textId="77777777" w:rsidR="00E60B22" w:rsidRPr="004B006A" w:rsidRDefault="00E60B22" w:rsidP="00E60B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00D00C10" w14:textId="77777777" w:rsidR="00F04EEB" w:rsidRDefault="00F04EEB" w:rsidP="00F04EE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07410650" w14:textId="77777777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</w:t>
            </w:r>
            <w:r w:rsidRPr="00F524D7">
              <w:rPr>
                <w:rFonts w:ascii="TH SarabunPSK" w:hAnsi="TH SarabunPSK" w:cs="TH SarabunPSK"/>
              </w:rPr>
              <w:t>1/6</w:t>
            </w:r>
          </w:p>
        </w:tc>
        <w:tc>
          <w:tcPr>
            <w:tcW w:w="3268" w:type="dxa"/>
            <w:shd w:val="clear" w:color="auto" w:fill="auto"/>
          </w:tcPr>
          <w:p w14:paraId="649BCC8E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A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F524D7">
              <w:rPr>
                <w:rFonts w:ascii="TH SarabunPSK" w:hAnsi="TH SarabunPSK" w:cs="TH SarabunPSK"/>
                <w:cs/>
              </w:rPr>
              <w:t>ประเมินงานทัศนศิลป์ และบรรยายถึงวิธีการปรับปรุงงานของตนเองและผู้อื่นโดยใช้เกณฑ์ที่กำหนดให้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480344D8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การประเมินงานทัศนศิลป์</w:t>
            </w:r>
          </w:p>
        </w:tc>
      </w:tr>
      <w:tr w:rsidR="00E60B22" w:rsidRPr="004B006A" w14:paraId="34B3E72F" w14:textId="77777777" w:rsidTr="00E33D69">
        <w:trPr>
          <w:trHeight w:val="643"/>
        </w:trPr>
        <w:tc>
          <w:tcPr>
            <w:tcW w:w="3962" w:type="dxa"/>
            <w:vMerge w:val="restart"/>
          </w:tcPr>
          <w:p w14:paraId="5F4733A1" w14:textId="77777777" w:rsidR="00E60B22" w:rsidRPr="004B006A" w:rsidRDefault="00E60B22" w:rsidP="00E60B22">
            <w:pPr>
              <w:rPr>
                <w:rFonts w:ascii="TH SarabunPSK" w:hAnsi="TH SarabunPSK" w:cs="TH SarabunPSK"/>
              </w:rPr>
            </w:pPr>
            <w:r w:rsidRPr="00716F9D">
              <w:rPr>
                <w:rFonts w:ascii="TH SarabunPSK" w:hAnsi="TH SarabunPSK" w:cs="TH SarabunPSK"/>
                <w:cs/>
              </w:rPr>
              <w:t>ศ 1.2  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เห็นคุณค่างานทัศนศิลป์ที่เป็นมรดกทางวัฒนธรรมภูมิปัญญาท้องถิ่น ภูมิปัญญาไทยและสากล</w:t>
            </w:r>
          </w:p>
        </w:tc>
        <w:tc>
          <w:tcPr>
            <w:tcW w:w="3198" w:type="dxa"/>
          </w:tcPr>
          <w:p w14:paraId="486B7583" w14:textId="77777777" w:rsidR="00F04EEB" w:rsidRDefault="00F04EEB" w:rsidP="00F04EE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9949ACD" w14:textId="77777777" w:rsidR="00E60B22" w:rsidRPr="00F524D7" w:rsidRDefault="00E60B22" w:rsidP="00E60B22">
            <w:pPr>
              <w:tabs>
                <w:tab w:val="left" w:pos="488"/>
                <w:tab w:val="left" w:pos="924"/>
                <w:tab w:val="left" w:pos="1247"/>
                <w:tab w:val="left" w:pos="1559"/>
                <w:tab w:val="left" w:pos="2041"/>
              </w:tabs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noProof/>
                <w:cs/>
              </w:rPr>
              <w:t>ม.1/1</w:t>
            </w:r>
          </w:p>
        </w:tc>
        <w:tc>
          <w:tcPr>
            <w:tcW w:w="3268" w:type="dxa"/>
            <w:shd w:val="clear" w:color="auto" w:fill="auto"/>
          </w:tcPr>
          <w:p w14:paraId="65039937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F524D7">
              <w:rPr>
                <w:rFonts w:ascii="TH SarabunPSK" w:hAnsi="TH SarabunPSK" w:cs="TH SarabunPSK"/>
                <w:cs/>
              </w:rPr>
              <w:t>ระบุและบรรยายเกี่ยวกับลักษณะรูปแบบงานทัศนศิลป์ของชาติและของท้องถิ่นตนเองจากอดีตจนถึงปัจจุบัน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5619BEA7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 w:rsidRPr="00F524D7">
              <w:rPr>
                <w:rFonts w:ascii="TH SarabunPSK" w:hAnsi="TH SarabunPSK" w:cs="TH SarabunPSK"/>
                <w:cs/>
              </w:rPr>
              <w:t>ลักษณะ รูปแบบงานทัศนศิลป์ของชาติและท้องถิ่น</w:t>
            </w:r>
          </w:p>
        </w:tc>
      </w:tr>
      <w:tr w:rsidR="00E60B22" w:rsidRPr="004B006A" w14:paraId="5BB3E12A" w14:textId="77777777" w:rsidTr="00E33D69">
        <w:trPr>
          <w:trHeight w:val="643"/>
        </w:trPr>
        <w:tc>
          <w:tcPr>
            <w:tcW w:w="3962" w:type="dxa"/>
            <w:vMerge/>
          </w:tcPr>
          <w:p w14:paraId="74B8B9BB" w14:textId="77777777" w:rsidR="00E60B22" w:rsidRPr="004B006A" w:rsidRDefault="00E60B22" w:rsidP="00E60B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5D88092B" w14:textId="77777777" w:rsidR="00F04EEB" w:rsidRDefault="00F04EEB" w:rsidP="00F04EE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DBA3BF5" w14:textId="77777777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ม.1/2</w:t>
            </w:r>
          </w:p>
        </w:tc>
        <w:tc>
          <w:tcPr>
            <w:tcW w:w="3268" w:type="dxa"/>
            <w:shd w:val="clear" w:color="auto" w:fill="auto"/>
          </w:tcPr>
          <w:p w14:paraId="1C9B1E1E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F524D7">
              <w:rPr>
                <w:rFonts w:ascii="TH SarabunPSK" w:hAnsi="TH SarabunPSK" w:cs="TH SarabunPSK"/>
                <w:cs/>
              </w:rPr>
              <w:t>ระบุและเปรียบเทียบงานทัศนศิลป์ของภาคต่างๆ ในประเทศไทย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05DF1EF9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งานทัศนศิลป์ภาคต่างๆในประเทศไทย</w:t>
            </w:r>
          </w:p>
        </w:tc>
      </w:tr>
      <w:tr w:rsidR="00E60B22" w:rsidRPr="004B006A" w14:paraId="7B6F5715" w14:textId="77777777" w:rsidTr="00E33D69">
        <w:trPr>
          <w:trHeight w:val="643"/>
        </w:trPr>
        <w:tc>
          <w:tcPr>
            <w:tcW w:w="3962" w:type="dxa"/>
            <w:vMerge/>
          </w:tcPr>
          <w:p w14:paraId="1ED1F6A1" w14:textId="77777777" w:rsidR="00E60B22" w:rsidRPr="004B006A" w:rsidRDefault="00E60B22" w:rsidP="00E60B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98" w:type="dxa"/>
          </w:tcPr>
          <w:p w14:paraId="46D48F1C" w14:textId="193FA5EF" w:rsidR="00F04EEB" w:rsidRDefault="00F04EEB" w:rsidP="00F04EE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77EF4751" w14:textId="77777777" w:rsidR="00E60B22" w:rsidRPr="00F524D7" w:rsidRDefault="00E60B22" w:rsidP="00E60B22">
            <w:pPr>
              <w:jc w:val="center"/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ม.1/3</w:t>
            </w:r>
          </w:p>
        </w:tc>
        <w:tc>
          <w:tcPr>
            <w:tcW w:w="3268" w:type="dxa"/>
            <w:shd w:val="clear" w:color="auto" w:fill="auto"/>
          </w:tcPr>
          <w:p w14:paraId="318FDD8C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K</w:t>
            </w:r>
            <w:r w:rsidRPr="00091C31">
              <w:rPr>
                <w:rFonts w:ascii="TH SarabunPSK" w:hAnsi="TH SarabunPSK" w:cs="TH SarabunPSK"/>
                <w:color w:val="FF0000"/>
              </w:rPr>
              <w:t>:</w:t>
            </w:r>
            <w:r w:rsidRPr="00F524D7">
              <w:rPr>
                <w:rFonts w:ascii="TH SarabunPSK" w:hAnsi="TH SarabunPSK" w:cs="TH SarabunPSK"/>
                <w:cs/>
              </w:rPr>
              <w:t>เปรียบเทียบความแตกต่างของจุดประสงค์ในการสร้างสรรค์งานทัศนศิลป์ของวัฒนธรรมไทยและสากล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241" w:type="dxa"/>
          </w:tcPr>
          <w:p w14:paraId="773305B8" w14:textId="77777777" w:rsidR="00E60B22" w:rsidRPr="00F524D7" w:rsidRDefault="00E60B22" w:rsidP="00E60B22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>ความแตกต่างของงานทัศนศิลป์ในวัฒนธรรมไทยและสากล</w:t>
            </w:r>
          </w:p>
        </w:tc>
      </w:tr>
    </w:tbl>
    <w:p w14:paraId="796CA88D" w14:textId="77777777" w:rsidR="00E60B22" w:rsidRDefault="00E60B22" w:rsidP="002C1712"/>
    <w:p w14:paraId="588B2707" w14:textId="77777777" w:rsidR="00E60B22" w:rsidRDefault="00E60B22" w:rsidP="002C1712"/>
    <w:p w14:paraId="6D65107B" w14:textId="77777777" w:rsidR="00E60B22" w:rsidRDefault="00E60B22" w:rsidP="002C1712"/>
    <w:p w14:paraId="59362FD3" w14:textId="77777777" w:rsidR="00E60B22" w:rsidRDefault="00E60B22" w:rsidP="002C1712"/>
    <w:p w14:paraId="0ED59649" w14:textId="77777777" w:rsidR="00E60B22" w:rsidRDefault="00E60B22" w:rsidP="002C1712"/>
    <w:p w14:paraId="32F31FD3" w14:textId="77777777" w:rsidR="00E60B22" w:rsidRDefault="00E60B22" w:rsidP="002C1712"/>
    <w:p w14:paraId="3418A90F" w14:textId="77777777" w:rsidR="00E60B22" w:rsidRDefault="00E60B22" w:rsidP="002C1712"/>
    <w:p w14:paraId="311A8243" w14:textId="77777777" w:rsidR="00BE2E2F" w:rsidRDefault="00BE2E2F" w:rsidP="002C1712"/>
    <w:p w14:paraId="610407B3" w14:textId="77777777" w:rsidR="00E60B22" w:rsidRDefault="00E60B22" w:rsidP="002C1712"/>
    <w:sectPr w:rsidR="00E60B22" w:rsidSect="00A86B60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337871">
    <w:abstractNumId w:val="3"/>
  </w:num>
  <w:num w:numId="2" w16cid:durableId="248781904">
    <w:abstractNumId w:val="1"/>
  </w:num>
  <w:num w:numId="3" w16cid:durableId="1189757730">
    <w:abstractNumId w:val="2"/>
  </w:num>
  <w:num w:numId="4" w16cid:durableId="38063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94148"/>
    <w:rsid w:val="00147993"/>
    <w:rsid w:val="001D281E"/>
    <w:rsid w:val="0021198F"/>
    <w:rsid w:val="00217C09"/>
    <w:rsid w:val="002C1712"/>
    <w:rsid w:val="003B09F4"/>
    <w:rsid w:val="00454C9C"/>
    <w:rsid w:val="004E5B94"/>
    <w:rsid w:val="00590941"/>
    <w:rsid w:val="006C1460"/>
    <w:rsid w:val="007A177C"/>
    <w:rsid w:val="00843A4E"/>
    <w:rsid w:val="00A86B60"/>
    <w:rsid w:val="00BD2925"/>
    <w:rsid w:val="00BE2E2F"/>
    <w:rsid w:val="00DA25FB"/>
    <w:rsid w:val="00DD3778"/>
    <w:rsid w:val="00E33D69"/>
    <w:rsid w:val="00E60B22"/>
    <w:rsid w:val="00E92EC1"/>
    <w:rsid w:val="00F04EEB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2020-07-04T10:39:00Z</cp:lastPrinted>
  <dcterms:created xsi:type="dcterms:W3CDTF">2024-03-25T08:59:00Z</dcterms:created>
  <dcterms:modified xsi:type="dcterms:W3CDTF">2024-03-25T08:59:00Z</dcterms:modified>
</cp:coreProperties>
</file>