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4AC8" w14:textId="77777777" w:rsidR="00220A56" w:rsidRDefault="00220A56">
      <w:pPr>
        <w:ind w:left="0" w:hanging="3"/>
        <w:jc w:val="center"/>
        <w:rPr>
          <w:rFonts w:ascii="Sarabun" w:eastAsia="Sarabun" w:hAnsi="Sarabun" w:cs="Sarabun"/>
        </w:rPr>
      </w:pPr>
    </w:p>
    <w:p w14:paraId="553CB073" w14:textId="77777777" w:rsidR="00220A56" w:rsidRDefault="00220A56">
      <w:pPr>
        <w:ind w:left="0" w:hanging="3"/>
        <w:jc w:val="center"/>
        <w:rPr>
          <w:rFonts w:ascii="Sarabun" w:eastAsia="Sarabun" w:hAnsi="Sarabun" w:cs="Sarabun"/>
        </w:rPr>
      </w:pPr>
    </w:p>
    <w:p w14:paraId="144A04CC" w14:textId="77777777" w:rsidR="00220A56" w:rsidRDefault="002919FF">
      <w:pPr>
        <w:ind w:left="0" w:hanging="3"/>
        <w:jc w:val="center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b/>
        </w:rPr>
        <w:t>ตารางวิเคราะห์ความสอดคล้องรายวิชา</w:t>
      </w:r>
    </w:p>
    <w:p w14:paraId="76A6B17D" w14:textId="77777777" w:rsidR="00220A56" w:rsidRDefault="002919FF">
      <w:pPr>
        <w:ind w:left="0" w:hanging="3"/>
        <w:jc w:val="center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b/>
        </w:rPr>
        <w:t>ระหว่างมาตรฐานการเรียนรู้/ตัวชี้วัด/จุดประสงค์การเรียนรู้</w:t>
      </w:r>
    </w:p>
    <w:p w14:paraId="73F40F21" w14:textId="77777777" w:rsidR="00220A56" w:rsidRDefault="00220A56">
      <w:pPr>
        <w:ind w:left="0" w:hanging="3"/>
        <w:jc w:val="center"/>
        <w:rPr>
          <w:rFonts w:ascii="TH SarabunPSK" w:eastAsia="TH SarabunPSK" w:hAnsi="TH SarabunPSK" w:cs="TH SarabunPSK"/>
        </w:rPr>
      </w:pPr>
    </w:p>
    <w:p w14:paraId="74F5559A" w14:textId="3FF00ACE" w:rsidR="00220A56" w:rsidRDefault="002919FF">
      <w:pPr>
        <w:ind w:left="0" w:hanging="3"/>
        <w:jc w:val="center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>รายวิชา</w:t>
      </w:r>
      <w:r w:rsidR="00F071BE">
        <w:rPr>
          <w:rFonts w:ascii="TH SarabunPSK" w:eastAsia="TH SarabunPSK" w:hAnsi="TH SarabunPSK" w:cs="TH SarabunPSK"/>
        </w:rPr>
        <w:t xml:space="preserve">  </w:t>
      </w:r>
      <w:r>
        <w:rPr>
          <w:rFonts w:ascii="TH SarabunPSK" w:eastAsia="TH SarabunPSK" w:hAnsi="TH SarabunPSK" w:cs="TH SarabunPSK"/>
        </w:rPr>
        <w:t xml:space="preserve">คณิตศาสตร์ </w:t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  <w:t>รหัสวิชา ค32</w:t>
      </w:r>
      <w:r w:rsidR="00FF1640">
        <w:rPr>
          <w:rFonts w:ascii="TH SarabunPSK" w:eastAsia="TH SarabunPSK" w:hAnsi="TH SarabunPSK" w:cs="TH SarabunPSK"/>
        </w:rPr>
        <w:t>2</w:t>
      </w:r>
      <w:r>
        <w:rPr>
          <w:rFonts w:ascii="TH SarabunPSK" w:eastAsia="TH SarabunPSK" w:hAnsi="TH SarabunPSK" w:cs="TH SarabunPSK"/>
        </w:rPr>
        <w:t>0</w:t>
      </w:r>
      <w:r w:rsidR="00FF1640">
        <w:rPr>
          <w:rFonts w:ascii="TH SarabunPSK" w:eastAsia="TH SarabunPSK" w:hAnsi="TH SarabunPSK" w:cs="TH SarabunPSK"/>
        </w:rPr>
        <w:t>3</w:t>
      </w:r>
      <w:r>
        <w:rPr>
          <w:rFonts w:ascii="TH SarabunPSK" w:eastAsia="TH SarabunPSK" w:hAnsi="TH SarabunPSK" w:cs="TH SarabunPSK"/>
        </w:rPr>
        <w:t xml:space="preserve"> </w:t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  <w:t xml:space="preserve">เวลา </w:t>
      </w:r>
      <w:r w:rsidR="00FF1640">
        <w:rPr>
          <w:rFonts w:ascii="TH SarabunPSK" w:eastAsia="TH SarabunPSK" w:hAnsi="TH SarabunPSK" w:cs="TH SarabunPSK"/>
        </w:rPr>
        <w:t>2</w:t>
      </w:r>
      <w:r>
        <w:rPr>
          <w:rFonts w:ascii="TH SarabunPSK" w:eastAsia="TH SarabunPSK" w:hAnsi="TH SarabunPSK" w:cs="TH SarabunPSK"/>
        </w:rPr>
        <w:t>0 ชั่วโมง</w:t>
      </w:r>
    </w:p>
    <w:p w14:paraId="02E1F574" w14:textId="5ED992B4" w:rsidR="00220A56" w:rsidRDefault="002919FF">
      <w:pPr>
        <w:ind w:left="0" w:hanging="3"/>
        <w:jc w:val="center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>กลุ่มสาระการเรียนรู้คณิตศาสตร์</w:t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  <w:t xml:space="preserve">ระดับชั้นมัธยมศึกษาปีที่ 5 </w:t>
      </w:r>
      <w:r>
        <w:rPr>
          <w:rFonts w:ascii="TH SarabunPSK" w:eastAsia="TH SarabunPSK" w:hAnsi="TH SarabunPSK" w:cs="TH SarabunPSK"/>
        </w:rPr>
        <w:tab/>
        <w:t>ภาคเรียนที่ 1</w:t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  <w:t xml:space="preserve"> ปีการศึกษา 256</w:t>
      </w:r>
      <w:r w:rsidR="004362B8">
        <w:rPr>
          <w:rFonts w:ascii="TH SarabunPSK" w:eastAsia="TH SarabunPSK" w:hAnsi="TH SarabunPSK" w:cs="TH SarabunPSK"/>
        </w:rPr>
        <w:t>7</w:t>
      </w:r>
    </w:p>
    <w:p w14:paraId="31920409" w14:textId="77777777" w:rsidR="00220A56" w:rsidRDefault="00220A56">
      <w:pPr>
        <w:ind w:left="0" w:hanging="3"/>
        <w:rPr>
          <w:rFonts w:ascii="TH SarabunPSK" w:eastAsia="TH SarabunPSK" w:hAnsi="TH SarabunPSK" w:cs="TH SarabunPSK"/>
        </w:rPr>
      </w:pPr>
    </w:p>
    <w:tbl>
      <w:tblPr>
        <w:tblStyle w:val="a7"/>
        <w:tblW w:w="14751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773"/>
      </w:tblGrid>
      <w:tr w:rsidR="00220A56" w14:paraId="7A7FE60C" w14:textId="77777777">
        <w:trPr>
          <w:trHeight w:val="643"/>
        </w:trPr>
        <w:tc>
          <w:tcPr>
            <w:tcW w:w="3659" w:type="dxa"/>
          </w:tcPr>
          <w:p w14:paraId="49B19D25" w14:textId="77777777" w:rsidR="00220A56" w:rsidRDefault="00220A56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</w:p>
          <w:p w14:paraId="3DE6770C" w14:textId="77777777" w:rsidR="00220A56" w:rsidRDefault="002919FF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4D71E2B2" w14:textId="77777777" w:rsidR="00220A56" w:rsidRDefault="00220A56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</w:p>
          <w:p w14:paraId="2512B09D" w14:textId="7FFFF5FA" w:rsidR="00220A56" w:rsidRDefault="00B7381B">
            <w:pPr>
              <w:ind w:left="0" w:hanging="3"/>
              <w:jc w:val="center"/>
              <w:rPr>
                <w:rFonts w:ascii="TH SarabunPSK" w:eastAsia="TH SarabunPSK" w:hAnsi="TH SarabunPSK" w:cs="TH SarabunPSK" w:hint="cs"/>
                <w:cs/>
              </w:rPr>
            </w:pPr>
            <w:r>
              <w:rPr>
                <w:rFonts w:ascii="TH SarabunPSK" w:eastAsia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59" w:type="dxa"/>
          </w:tcPr>
          <w:p w14:paraId="590E4ABB" w14:textId="77777777" w:rsidR="00220A56" w:rsidRDefault="00220A56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</w:p>
          <w:p w14:paraId="1455BDA8" w14:textId="77777777" w:rsidR="00220A56" w:rsidRDefault="002919FF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>จุดประสงค์การเรียนรู้</w:t>
            </w:r>
          </w:p>
          <w:p w14:paraId="385981B7" w14:textId="77777777" w:rsidR="00220A56" w:rsidRDefault="00220A56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3773" w:type="dxa"/>
          </w:tcPr>
          <w:p w14:paraId="5CD21F59" w14:textId="77777777" w:rsidR="00220A56" w:rsidRDefault="00220A56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</w:p>
          <w:p w14:paraId="04097952" w14:textId="77777777" w:rsidR="00220A56" w:rsidRDefault="002919FF">
            <w:pPr>
              <w:ind w:left="0" w:hanging="3"/>
              <w:jc w:val="center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>สาระการเรียนรู้แกนกลาง</w:t>
            </w:r>
          </w:p>
        </w:tc>
      </w:tr>
      <w:tr w:rsidR="00220A56" w14:paraId="0CE33CC0" w14:textId="77777777">
        <w:trPr>
          <w:trHeight w:val="1815"/>
        </w:trPr>
        <w:tc>
          <w:tcPr>
            <w:tcW w:w="3659" w:type="dxa"/>
          </w:tcPr>
          <w:p w14:paraId="3FEBB546" w14:textId="77777777" w:rsidR="00F071BE" w:rsidRDefault="002919FF">
            <w:pPr>
              <w:tabs>
                <w:tab w:val="left" w:pos="2160"/>
              </w:tabs>
              <w:ind w:left="0" w:hanging="3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>ค 1.1 เข้าใจความหลากหลายของการแสดง</w:t>
            </w:r>
          </w:p>
          <w:p w14:paraId="17A96175" w14:textId="509606A9" w:rsidR="00220A56" w:rsidRDefault="002919FF" w:rsidP="00F071BE">
            <w:pPr>
              <w:tabs>
                <w:tab w:val="left" w:pos="2160"/>
              </w:tabs>
              <w:ind w:left="0" w:hanging="3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>จำนวน ระบบจำนวน กาดำเนินการของจำนวน ผลที่เกิดขึ้นจากการดำเนินการ สมบัติของการดำเนินการ และนำไปใช้</w:t>
            </w:r>
            <w:r>
              <w:rPr>
                <w:rFonts w:ascii="TH SarabunPSK" w:eastAsia="TH SarabunPSK" w:hAnsi="TH SarabunPSK" w:cs="TH SarabunPSK"/>
              </w:rPr>
              <w:tab/>
            </w:r>
          </w:p>
          <w:p w14:paraId="580C8C29" w14:textId="77777777" w:rsidR="00220A56" w:rsidRDefault="002919FF">
            <w:pPr>
              <w:tabs>
                <w:tab w:val="left" w:pos="2160"/>
              </w:tabs>
              <w:ind w:left="0" w:hanging="3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>ค 1.2 เข้าใจและวิเคราะห์แบบรูป ความสัมพันธ์ ฟังก์ชัน ลำดับและอนุกรม และนำไปใช้</w:t>
            </w:r>
          </w:p>
          <w:p w14:paraId="7469E5BF" w14:textId="77777777" w:rsidR="00220A56" w:rsidRDefault="00220A56">
            <w:pPr>
              <w:ind w:left="0" w:hanging="3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3660" w:type="dxa"/>
          </w:tcPr>
          <w:p w14:paraId="1D9FBCF6" w14:textId="77777777" w:rsidR="00220A56" w:rsidRDefault="002919FF">
            <w:pPr>
              <w:ind w:left="0" w:hanging="3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>1. เข้าใจความหมายและใช้สมบัติเกี่ยวกับการบวก การคูณ การเท่ากัน และการไม่เท่ากันของจำนวนจริงในรูปกรณฑ์ และจำนวนจริงในรูปเลขยกกำลังที่มีเลขชี้กำลังเป็นจำนวนตรรกยะ</w:t>
            </w:r>
          </w:p>
          <w:p w14:paraId="1420E47D" w14:textId="77777777" w:rsidR="00220A56" w:rsidRDefault="002919FF">
            <w:pPr>
              <w:ind w:left="0" w:hanging="3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>2.ใช้ฟังก์ชันและกราฟของฟังก์ชันอธิบายสถานการณ์ที่กำหนด</w:t>
            </w:r>
          </w:p>
        </w:tc>
        <w:tc>
          <w:tcPr>
            <w:tcW w:w="3659" w:type="dxa"/>
          </w:tcPr>
          <w:p w14:paraId="4CEA4EF3" w14:textId="77777777" w:rsidR="00220A56" w:rsidRDefault="002919FF">
            <w:pPr>
              <w:ind w:left="0" w:hanging="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K : 1. นักเรียนบอกสมบัติเกี่ยวกับการบวก การคูณ การเท่ากัน และการไม่เท่ากันของจำนวนจริงในรูปกรณฑ์และจำนวนจริงในรูปเลขยกกำลังที่มีเลขชี้กำลังเป็นจำนวนตรรกยะ</w:t>
            </w:r>
          </w:p>
          <w:p w14:paraId="53E39B50" w14:textId="77777777" w:rsidR="00220A56" w:rsidRDefault="002919FF">
            <w:pPr>
              <w:ind w:left="0" w:hanging="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K : 2. นักเรียนอธิบายสถานการณ์ที่กำหนดโดยใช้ฟังก์ชัน และกราฟของฟังก์ชัน</w:t>
            </w:r>
          </w:p>
          <w:p w14:paraId="5DCA4080" w14:textId="77777777" w:rsidR="00220A56" w:rsidRDefault="002919FF">
            <w:pPr>
              <w:tabs>
                <w:tab w:val="left" w:pos="1440"/>
              </w:tabs>
              <w:ind w:left="0" w:hanging="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P : 3. นักเรียนฝึกแก้โจทย์ปัญหา และทำแบบฝึกหัดด้วยตนเอง</w:t>
            </w:r>
          </w:p>
          <w:p w14:paraId="331952AE" w14:textId="77777777" w:rsidR="00220A56" w:rsidRDefault="002919FF">
            <w:pPr>
              <w:tabs>
                <w:tab w:val="left" w:pos="1440"/>
              </w:tabs>
              <w:ind w:left="0" w:hanging="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A : 4. นักเรียนอภิปรายแลกเปลี่ยนความเห็นกับครูและเพื่อน</w:t>
            </w:r>
          </w:p>
          <w:p w14:paraId="6D85B16E" w14:textId="77777777" w:rsidR="00220A56" w:rsidRDefault="00220A56">
            <w:pPr>
              <w:ind w:left="0" w:hanging="3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3773" w:type="dxa"/>
          </w:tcPr>
          <w:p w14:paraId="3CF4A918" w14:textId="77777777" w:rsidR="00220A56" w:rsidRDefault="002919FF">
            <w:pPr>
              <w:ind w:left="0" w:hanging="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-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รากที่ n ของจำนวนจริง เมื่อ n เป็นจำนวนนับที่มากกว่า 1</w:t>
            </w:r>
          </w:p>
          <w:p w14:paraId="1107D95C" w14:textId="77777777" w:rsidR="00220A56" w:rsidRDefault="002919FF">
            <w:pPr>
              <w:ind w:left="0" w:hanging="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- เลขยกกำลังมีเลขชี้กำลังเป็นจำนวน</w:t>
            </w:r>
          </w:p>
          <w:p w14:paraId="752A5784" w14:textId="77777777" w:rsidR="00220A56" w:rsidRDefault="002919FF">
            <w:pPr>
              <w:ind w:left="0" w:hanging="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ตรรกยะ</w:t>
            </w:r>
          </w:p>
          <w:p w14:paraId="746C4C86" w14:textId="77777777" w:rsidR="00220A56" w:rsidRDefault="002919FF">
            <w:pPr>
              <w:ind w:left="0" w:hanging="3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>- ฟังก์ชันและกราฟของฟังก์ชัน</w:t>
            </w:r>
          </w:p>
          <w:p w14:paraId="79C0AE55" w14:textId="77777777" w:rsidR="00220A56" w:rsidRDefault="002919FF">
            <w:pPr>
              <w:ind w:left="0" w:hanging="3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>(ฟังก์ชันเชิงเส้น ฟังก์ชันกำลังสอง</w:t>
            </w:r>
          </w:p>
          <w:p w14:paraId="6FECE43E" w14:textId="77777777" w:rsidR="00220A56" w:rsidRDefault="002919FF">
            <w:pPr>
              <w:ind w:left="0" w:hanging="3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>ฟังก์ชันขั้นบันได ฟังก์ชันเอกซ์โพเนนเชียล)</w:t>
            </w:r>
          </w:p>
          <w:p w14:paraId="6DFD17FB" w14:textId="77777777" w:rsidR="00220A56" w:rsidRDefault="00220A56">
            <w:pPr>
              <w:ind w:left="0" w:hanging="3"/>
              <w:rPr>
                <w:rFonts w:ascii="TH SarabunPSK" w:eastAsia="TH SarabunPSK" w:hAnsi="TH SarabunPSK" w:cs="TH SarabunPSK"/>
              </w:rPr>
            </w:pPr>
          </w:p>
          <w:p w14:paraId="218DE2F5" w14:textId="77777777" w:rsidR="00220A56" w:rsidRDefault="00220A56">
            <w:pPr>
              <w:ind w:left="0" w:hanging="3"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  <w:p w14:paraId="5B48A4B3" w14:textId="77777777" w:rsidR="00220A56" w:rsidRDefault="00220A56">
            <w:pPr>
              <w:ind w:left="0" w:hanging="3"/>
              <w:rPr>
                <w:rFonts w:ascii="TH SarabunPSK" w:eastAsia="TH SarabunPSK" w:hAnsi="TH SarabunPSK" w:cs="TH SarabunPSK"/>
              </w:rPr>
            </w:pPr>
          </w:p>
        </w:tc>
      </w:tr>
    </w:tbl>
    <w:p w14:paraId="049E3D70" w14:textId="77777777" w:rsidR="00220A56" w:rsidRDefault="00220A56">
      <w:pPr>
        <w:ind w:left="0" w:hanging="3"/>
        <w:rPr>
          <w:rFonts w:ascii="TH SarabunPSK" w:eastAsia="TH SarabunPSK" w:hAnsi="TH SarabunPSK" w:cs="TH SarabunPSK"/>
        </w:rPr>
      </w:pPr>
    </w:p>
    <w:p w14:paraId="45A7A131" w14:textId="77777777" w:rsidR="00220A56" w:rsidRDefault="00220A56">
      <w:pPr>
        <w:ind w:left="0" w:hanging="3"/>
        <w:rPr>
          <w:rFonts w:ascii="TH SarabunPSK" w:eastAsia="TH SarabunPSK" w:hAnsi="TH SarabunPSK" w:cs="TH SarabunPSK"/>
        </w:rPr>
      </w:pPr>
    </w:p>
    <w:p w14:paraId="4ADFB4C9" w14:textId="77777777" w:rsidR="00220A56" w:rsidRDefault="002919FF">
      <w:pPr>
        <w:tabs>
          <w:tab w:val="left" w:pos="12810"/>
        </w:tabs>
        <w:ind w:left="0" w:hanging="3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ab/>
      </w:r>
    </w:p>
    <w:sectPr w:rsidR="00220A56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56"/>
    <w:rsid w:val="001F1F68"/>
    <w:rsid w:val="00220A56"/>
    <w:rsid w:val="002919FF"/>
    <w:rsid w:val="004362B8"/>
    <w:rsid w:val="00B7381B"/>
    <w:rsid w:val="00F071BE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AAAD"/>
  <w15:docId w15:val="{A8FC12BE-6028-4F57-BB4D-E096D233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ZLwXDQ29LR49tDh/nQ1+uwHUqg==">AMUW2mXn/qmXmY6059qlTNmIR6dzg54OM+lhtvnbso60Z+MTAwNh01+kxn9QICwYaHSAUJysSkOLWoX6z9xEgHg6eoMQMLp8DVjax9Wvq6dZko8cckg1WAQ=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 DELL</cp:lastModifiedBy>
  <cp:revision>4</cp:revision>
  <dcterms:created xsi:type="dcterms:W3CDTF">2023-05-15T14:46:00Z</dcterms:created>
  <dcterms:modified xsi:type="dcterms:W3CDTF">2024-03-26T09:38:00Z</dcterms:modified>
</cp:coreProperties>
</file>